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C4B9" w14:textId="2DA381E3" w:rsidR="00B555C7" w:rsidRPr="00302251" w:rsidRDefault="00D917C7">
      <w:pPr>
        <w:rPr>
          <w:rFonts w:ascii="Georgia" w:hAnsi="Georgia"/>
          <w:b/>
          <w:bCs/>
          <w:sz w:val="32"/>
          <w:szCs w:val="32"/>
        </w:rPr>
      </w:pPr>
      <w:r w:rsidRPr="00302251">
        <w:rPr>
          <w:rFonts w:ascii="Georgia" w:hAnsi="Georgia"/>
          <w:b/>
          <w:bCs/>
          <w:sz w:val="32"/>
          <w:szCs w:val="32"/>
        </w:rPr>
        <w:t>Our Mission</w:t>
      </w:r>
    </w:p>
    <w:p w14:paraId="372CB97D" w14:textId="77777777" w:rsidR="00D917C7" w:rsidRPr="006B4B62" w:rsidRDefault="00D917C7" w:rsidP="00D917C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6B4B62">
        <w:rPr>
          <w:rFonts w:ascii="Georgia" w:eastAsia="Times New Roman" w:hAnsi="Georgia" w:cs="Times New Roman"/>
          <w:color w:val="222222"/>
          <w:sz w:val="24"/>
          <w:szCs w:val="24"/>
        </w:rPr>
        <w:t>The mission of the Dietetic Internship program is to prepare a diverse group of students as entry level registered dietitian nutritionists for successful careers in dietetics and encourage students to assume leadership roles in their profession and in society.</w:t>
      </w:r>
    </w:p>
    <w:p w14:paraId="1971DBF9" w14:textId="77777777" w:rsidR="00D917C7" w:rsidRPr="00D917C7" w:rsidRDefault="00D917C7" w:rsidP="00D917C7">
      <w:pPr>
        <w:rPr>
          <w:rFonts w:ascii="Georgia" w:hAnsi="Georgia"/>
          <w:b/>
          <w:bCs/>
          <w:sz w:val="32"/>
          <w:szCs w:val="32"/>
        </w:rPr>
      </w:pPr>
      <w:r w:rsidRPr="00D917C7">
        <w:rPr>
          <w:rFonts w:ascii="Georgia" w:hAnsi="Georgia"/>
          <w:b/>
          <w:bCs/>
          <w:sz w:val="32"/>
          <w:szCs w:val="32"/>
        </w:rPr>
        <w:t>Goals and Objectives</w:t>
      </w:r>
    </w:p>
    <w:p w14:paraId="40108F56" w14:textId="77777777" w:rsidR="00D917C7" w:rsidRPr="00D917C7" w:rsidRDefault="00D917C7" w:rsidP="00D917C7">
      <w:pPr>
        <w:rPr>
          <w:rFonts w:ascii="Georgia" w:hAnsi="Georgia"/>
          <w:sz w:val="24"/>
          <w:szCs w:val="24"/>
        </w:rPr>
      </w:pPr>
      <w:r w:rsidRPr="00D917C7">
        <w:rPr>
          <w:rFonts w:ascii="Georgia" w:hAnsi="Georgia"/>
          <w:b/>
          <w:bCs/>
          <w:sz w:val="24"/>
          <w:szCs w:val="24"/>
        </w:rPr>
        <w:t>Program Goal 1: </w:t>
      </w:r>
      <w:r w:rsidRPr="00D917C7">
        <w:rPr>
          <w:rFonts w:ascii="Georgia" w:hAnsi="Georgia"/>
          <w:sz w:val="24"/>
          <w:szCs w:val="24"/>
        </w:rPr>
        <w:t>Program graduates will be prepared to be competent entry level dietitians or professionals, who engage in lifelong learning, in fields related to dietetics.</w:t>
      </w:r>
    </w:p>
    <w:p w14:paraId="5657B2B4" w14:textId="77777777" w:rsidR="00D917C7" w:rsidRPr="00D917C7" w:rsidRDefault="00D917C7" w:rsidP="00D917C7">
      <w:pPr>
        <w:rPr>
          <w:rFonts w:ascii="Georgia" w:hAnsi="Georgia"/>
          <w:sz w:val="24"/>
          <w:szCs w:val="24"/>
        </w:rPr>
      </w:pPr>
      <w:r w:rsidRPr="00D917C7">
        <w:rPr>
          <w:rFonts w:ascii="Georgia" w:hAnsi="Georgia"/>
          <w:b/>
          <w:bCs/>
          <w:sz w:val="24"/>
          <w:szCs w:val="24"/>
        </w:rPr>
        <w:t>Program Objectives</w:t>
      </w:r>
      <w:r w:rsidRPr="00D917C7">
        <w:rPr>
          <w:rFonts w:ascii="Georgia" w:hAnsi="Georgia"/>
          <w:sz w:val="24"/>
          <w:szCs w:val="24"/>
        </w:rPr>
        <w:t> for Goal 1:</w:t>
      </w:r>
    </w:p>
    <w:p w14:paraId="7D6F82C5" w14:textId="77777777" w:rsidR="00D917C7" w:rsidRPr="00D917C7" w:rsidRDefault="00D917C7" w:rsidP="00D917C7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917C7">
        <w:rPr>
          <w:rFonts w:ascii="Georgia" w:hAnsi="Georgia"/>
          <w:sz w:val="24"/>
          <w:szCs w:val="24"/>
        </w:rPr>
        <w:t>Objective measure 1: At least 80% of interns complete program requirements within 3 years (150% of the program length).</w:t>
      </w:r>
    </w:p>
    <w:p w14:paraId="39F8C889" w14:textId="77777777" w:rsidR="00D917C7" w:rsidRPr="00D917C7" w:rsidRDefault="00D917C7" w:rsidP="00D917C7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917C7">
        <w:rPr>
          <w:rFonts w:ascii="Georgia" w:hAnsi="Georgia"/>
          <w:sz w:val="24"/>
          <w:szCs w:val="24"/>
        </w:rPr>
        <w:t>Objective measure 2: The program’s one-year pass rate (graduates who pass the registration exam within one year of the first attempt) on the CDR credentialing exam for dietitian nutritionists is at least 80%.</w:t>
      </w:r>
    </w:p>
    <w:p w14:paraId="18320B1C" w14:textId="77777777" w:rsidR="00D917C7" w:rsidRPr="00D917C7" w:rsidRDefault="00D917C7" w:rsidP="00D917C7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917C7">
        <w:rPr>
          <w:rFonts w:ascii="Georgia" w:hAnsi="Georgia"/>
          <w:sz w:val="24"/>
          <w:szCs w:val="24"/>
        </w:rPr>
        <w:t>Objective measure 3: Of graduates who seek employment, 70 percent are employed in nutrition and dietetic or related fields within 12 months of graduation.</w:t>
      </w:r>
    </w:p>
    <w:p w14:paraId="52E0F4C2" w14:textId="77777777" w:rsidR="00D917C7" w:rsidRPr="00D917C7" w:rsidRDefault="00D917C7" w:rsidP="00D917C7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917C7">
        <w:rPr>
          <w:rFonts w:ascii="Georgia" w:hAnsi="Georgia"/>
          <w:sz w:val="24"/>
          <w:szCs w:val="24"/>
        </w:rPr>
        <w:t>Objective measure 4: At least 80 percent of program graduates take the CDR credentialing exam for dietitian nutritionists within registration 12 months of program completion.</w:t>
      </w:r>
    </w:p>
    <w:p w14:paraId="1B1A8A2D" w14:textId="77777777" w:rsidR="00D917C7" w:rsidRPr="00D917C7" w:rsidRDefault="00D917C7" w:rsidP="00D917C7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917C7">
        <w:rPr>
          <w:rFonts w:ascii="Georgia" w:hAnsi="Georgia"/>
          <w:sz w:val="24"/>
          <w:szCs w:val="24"/>
        </w:rPr>
        <w:t> Objective measure 5: At least 80% of program graduates will be rated as “more than satisfactory” or “outstanding” by surveyed job supervisors in 50% of the 19 selected knowledge and skill areas.</w:t>
      </w:r>
    </w:p>
    <w:p w14:paraId="64338FB3" w14:textId="77777777" w:rsidR="00D917C7" w:rsidRPr="00D917C7" w:rsidRDefault="00D917C7" w:rsidP="00D917C7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917C7">
        <w:rPr>
          <w:rFonts w:ascii="Georgia" w:hAnsi="Georgia"/>
          <w:sz w:val="24"/>
          <w:szCs w:val="24"/>
        </w:rPr>
        <w:t>Objective measure 6: At least 50% of program graduates will pursue further education, additional degrees or certifications, and/or be active in professional organizations or in legislative activities.</w:t>
      </w:r>
    </w:p>
    <w:p w14:paraId="291CBE70" w14:textId="77777777" w:rsidR="00D917C7" w:rsidRPr="00D917C7" w:rsidRDefault="00D917C7" w:rsidP="00D917C7">
      <w:pPr>
        <w:rPr>
          <w:rFonts w:ascii="Georgia" w:hAnsi="Georgia"/>
          <w:sz w:val="24"/>
          <w:szCs w:val="24"/>
        </w:rPr>
      </w:pPr>
      <w:r w:rsidRPr="00D917C7">
        <w:rPr>
          <w:rFonts w:ascii="Georgia" w:hAnsi="Georgia"/>
          <w:b/>
          <w:bCs/>
          <w:sz w:val="24"/>
          <w:szCs w:val="24"/>
        </w:rPr>
        <w:t>Program Goal 2:</w:t>
      </w:r>
      <w:r w:rsidRPr="00D917C7">
        <w:rPr>
          <w:rFonts w:ascii="Georgia" w:hAnsi="Georgia"/>
          <w:sz w:val="24"/>
          <w:szCs w:val="24"/>
        </w:rPr>
        <w:t> Graduates will have demonstrated proficiency in understanding and communicating current research findings.</w:t>
      </w:r>
    </w:p>
    <w:p w14:paraId="4EC2A48E" w14:textId="77777777" w:rsidR="00D917C7" w:rsidRPr="00D917C7" w:rsidRDefault="00D917C7" w:rsidP="00D917C7">
      <w:pPr>
        <w:rPr>
          <w:rFonts w:ascii="Georgia" w:hAnsi="Georgia"/>
          <w:sz w:val="24"/>
          <w:szCs w:val="24"/>
        </w:rPr>
      </w:pPr>
      <w:r w:rsidRPr="00D917C7">
        <w:rPr>
          <w:rFonts w:ascii="Georgia" w:hAnsi="Georgia"/>
          <w:b/>
          <w:bCs/>
          <w:sz w:val="24"/>
          <w:szCs w:val="24"/>
        </w:rPr>
        <w:t>Program Objectives</w:t>
      </w:r>
      <w:r w:rsidRPr="00D917C7">
        <w:rPr>
          <w:rFonts w:ascii="Georgia" w:hAnsi="Georgia"/>
          <w:sz w:val="24"/>
          <w:szCs w:val="24"/>
        </w:rPr>
        <w:t> for Goal 2:</w:t>
      </w:r>
    </w:p>
    <w:p w14:paraId="1C2FBB92" w14:textId="77777777" w:rsidR="00D917C7" w:rsidRPr="00D917C7" w:rsidRDefault="00D917C7" w:rsidP="00D917C7">
      <w:pPr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D917C7">
        <w:rPr>
          <w:rFonts w:ascii="Georgia" w:hAnsi="Georgia"/>
          <w:sz w:val="24"/>
          <w:szCs w:val="24"/>
        </w:rPr>
        <w:t>Objective measure 7: At least 70% of graduates surveyed will report that they have demonstrated proficiency in translating current research findings to others with positive rating.</w:t>
      </w:r>
    </w:p>
    <w:p w14:paraId="6E3B9DAA" w14:textId="77777777" w:rsidR="00D917C7" w:rsidRPr="00D917C7" w:rsidRDefault="00D917C7" w:rsidP="00D917C7">
      <w:pPr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D917C7">
        <w:rPr>
          <w:rFonts w:ascii="Georgia" w:hAnsi="Georgia"/>
          <w:sz w:val="24"/>
          <w:szCs w:val="24"/>
        </w:rPr>
        <w:t>Objective measure 8: At least 50% of graduates surveyed will have engaged in scholarly activity at the local, regional, state or national level, such as presenting research findings at a conference or submitting a manuscript for publication or submitting a grant proposal.</w:t>
      </w:r>
    </w:p>
    <w:p w14:paraId="74BAA3D9" w14:textId="790E6051" w:rsidR="00D917C7" w:rsidRPr="00302251" w:rsidRDefault="00302251">
      <w:pPr>
        <w:rPr>
          <w:rFonts w:ascii="Georgia" w:hAnsi="Georgia"/>
          <w:b/>
          <w:bCs/>
          <w:sz w:val="32"/>
          <w:szCs w:val="32"/>
        </w:rPr>
      </w:pPr>
      <w:r w:rsidRPr="00302251">
        <w:rPr>
          <w:rFonts w:ascii="Georgia" w:hAnsi="Georgia"/>
          <w:b/>
          <w:bCs/>
          <w:sz w:val="32"/>
          <w:szCs w:val="32"/>
        </w:rPr>
        <w:lastRenderedPageBreak/>
        <w:t>Internship Expenses, Assistantship, Financial Aid and Support</w:t>
      </w:r>
    </w:p>
    <w:p w14:paraId="7F98179E" w14:textId="77777777" w:rsidR="00302251" w:rsidRPr="006B4B62" w:rsidRDefault="00302251" w:rsidP="00302251">
      <w:pPr>
        <w:spacing w:before="100" w:beforeAutospacing="1" w:after="100" w:afterAutospacing="1" w:line="240" w:lineRule="auto"/>
        <w:outlineLvl w:val="1"/>
        <w:rPr>
          <w:rFonts w:ascii="Merriweather" w:eastAsia="Times New Roman" w:hAnsi="Merriweather" w:cs="Noto Sans"/>
          <w:b/>
          <w:bCs/>
          <w:color w:val="222222"/>
          <w:sz w:val="28"/>
          <w:szCs w:val="28"/>
        </w:rPr>
      </w:pPr>
      <w:r w:rsidRPr="006B4B62">
        <w:rPr>
          <w:rFonts w:ascii="Merriweather" w:eastAsia="Times New Roman" w:hAnsi="Merriweather" w:cs="Noto Sans"/>
          <w:b/>
          <w:bCs/>
          <w:color w:val="222222"/>
          <w:sz w:val="28"/>
          <w:szCs w:val="28"/>
        </w:rPr>
        <w:t xml:space="preserve">Internship </w:t>
      </w:r>
      <w:commentRangeStart w:id="0"/>
      <w:commentRangeStart w:id="1"/>
      <w:r w:rsidRPr="006B4B62">
        <w:rPr>
          <w:rFonts w:ascii="Merriweather" w:eastAsia="Times New Roman" w:hAnsi="Merriweather" w:cs="Noto Sans"/>
          <w:b/>
          <w:bCs/>
          <w:color w:val="222222"/>
          <w:sz w:val="28"/>
          <w:szCs w:val="28"/>
        </w:rPr>
        <w:t>Expenses</w:t>
      </w:r>
      <w:commentRangeEnd w:id="0"/>
      <w:r w:rsidRPr="00302251">
        <w:rPr>
          <w:rStyle w:val="CommentReference"/>
          <w:sz w:val="28"/>
          <w:szCs w:val="28"/>
        </w:rPr>
        <w:commentReference w:id="0"/>
      </w:r>
      <w:commentRangeEnd w:id="1"/>
      <w:r w:rsidRPr="00302251">
        <w:rPr>
          <w:rStyle w:val="CommentReference"/>
          <w:sz w:val="28"/>
          <w:szCs w:val="28"/>
        </w:rPr>
        <w:comment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02251" w:rsidRPr="007F2CBA" w14:paraId="64DA5D4A" w14:textId="77777777" w:rsidTr="007F2CBA">
        <w:tc>
          <w:tcPr>
            <w:tcW w:w="4675" w:type="dxa"/>
          </w:tcPr>
          <w:p w14:paraId="08CF1531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>Housing</w:t>
            </w:r>
          </w:p>
        </w:tc>
        <w:tc>
          <w:tcPr>
            <w:tcW w:w="4675" w:type="dxa"/>
          </w:tcPr>
          <w:p w14:paraId="0B6CB7F8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>$500/month for single room</w:t>
            </w:r>
          </w:p>
        </w:tc>
      </w:tr>
      <w:tr w:rsidR="00302251" w:rsidRPr="007F2CBA" w14:paraId="0BC0C33B" w14:textId="77777777" w:rsidTr="007F2CBA">
        <w:tc>
          <w:tcPr>
            <w:tcW w:w="4675" w:type="dxa"/>
          </w:tcPr>
          <w:p w14:paraId="2839C291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>Meals at internship site</w:t>
            </w:r>
          </w:p>
        </w:tc>
        <w:tc>
          <w:tcPr>
            <w:tcW w:w="4675" w:type="dxa"/>
          </w:tcPr>
          <w:p w14:paraId="4AE9F09E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 xml:space="preserve">$6-10/day </w:t>
            </w:r>
            <w:r w:rsidRPr="007F2CBA"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</w:rPr>
              <w:t>(some are free)</w:t>
            </w:r>
          </w:p>
        </w:tc>
      </w:tr>
      <w:tr w:rsidR="00302251" w:rsidRPr="007F2CBA" w14:paraId="13119850" w14:textId="77777777" w:rsidTr="007F2CBA">
        <w:tc>
          <w:tcPr>
            <w:tcW w:w="4675" w:type="dxa"/>
          </w:tcPr>
          <w:p w14:paraId="7D0E5C23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>Public Transportation</w:t>
            </w:r>
          </w:p>
        </w:tc>
        <w:tc>
          <w:tcPr>
            <w:tcW w:w="4675" w:type="dxa"/>
          </w:tcPr>
          <w:p w14:paraId="2AF1A347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>$4/day</w:t>
            </w:r>
          </w:p>
        </w:tc>
      </w:tr>
      <w:tr w:rsidR="00302251" w:rsidRPr="007F2CBA" w14:paraId="257BE61F" w14:textId="77777777" w:rsidTr="007F2CBA">
        <w:tc>
          <w:tcPr>
            <w:tcW w:w="4675" w:type="dxa"/>
          </w:tcPr>
          <w:p w14:paraId="250CED69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>Personal Transportation</w:t>
            </w:r>
          </w:p>
        </w:tc>
        <w:tc>
          <w:tcPr>
            <w:tcW w:w="4675" w:type="dxa"/>
          </w:tcPr>
          <w:p w14:paraId="7BFC9F65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>$300-750/year</w:t>
            </w:r>
          </w:p>
        </w:tc>
      </w:tr>
      <w:tr w:rsidR="00302251" w:rsidRPr="007F2CBA" w14:paraId="7B646576" w14:textId="77777777" w:rsidTr="007F2CBA">
        <w:tc>
          <w:tcPr>
            <w:tcW w:w="4675" w:type="dxa"/>
          </w:tcPr>
          <w:p w14:paraId="1D37F3A1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>Liability Insurance</w:t>
            </w:r>
          </w:p>
        </w:tc>
        <w:tc>
          <w:tcPr>
            <w:tcW w:w="4675" w:type="dxa"/>
          </w:tcPr>
          <w:p w14:paraId="068A1C17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>$42/year</w:t>
            </w:r>
          </w:p>
        </w:tc>
      </w:tr>
      <w:tr w:rsidR="00302251" w:rsidRPr="007F2CBA" w14:paraId="6DBA51E2" w14:textId="77777777" w:rsidTr="007F2CBA">
        <w:tc>
          <w:tcPr>
            <w:tcW w:w="4675" w:type="dxa"/>
          </w:tcPr>
          <w:p w14:paraId="5595482B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>Required Immunizations</w:t>
            </w:r>
            <w:r>
              <w:rPr>
                <w:rFonts w:eastAsia="Times New Roman" w:cstheme="minorHAnsi"/>
                <w:color w:val="222222"/>
                <w:sz w:val="38"/>
                <w:szCs w:val="38"/>
              </w:rPr>
              <w:t xml:space="preserve">* </w:t>
            </w:r>
          </w:p>
        </w:tc>
        <w:tc>
          <w:tcPr>
            <w:tcW w:w="4675" w:type="dxa"/>
          </w:tcPr>
          <w:p w14:paraId="5AFE6D77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 xml:space="preserve">$0-195 </w:t>
            </w:r>
            <w:r w:rsidRPr="007F2CBA"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</w:rPr>
              <w:t>depending on insurance coverage</w:t>
            </w:r>
          </w:p>
        </w:tc>
      </w:tr>
      <w:tr w:rsidR="00302251" w:rsidRPr="007F2CBA" w14:paraId="72049E62" w14:textId="77777777" w:rsidTr="007F2CBA">
        <w:tc>
          <w:tcPr>
            <w:tcW w:w="4675" w:type="dxa"/>
          </w:tcPr>
          <w:p w14:paraId="1FE43B46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>CPR certification</w:t>
            </w:r>
          </w:p>
        </w:tc>
        <w:tc>
          <w:tcPr>
            <w:tcW w:w="4675" w:type="dxa"/>
          </w:tcPr>
          <w:p w14:paraId="11C29CC3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>$85</w:t>
            </w:r>
          </w:p>
        </w:tc>
      </w:tr>
      <w:tr w:rsidR="00302251" w:rsidRPr="007F2CBA" w14:paraId="092EBD7B" w14:textId="77777777" w:rsidTr="007F2CBA">
        <w:tc>
          <w:tcPr>
            <w:tcW w:w="4675" w:type="dxa"/>
          </w:tcPr>
          <w:p w14:paraId="363D02A0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>Internship site requirements</w:t>
            </w:r>
          </w:p>
        </w:tc>
        <w:tc>
          <w:tcPr>
            <w:tcW w:w="4675" w:type="dxa"/>
          </w:tcPr>
          <w:p w14:paraId="5D9A72B0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>$0-225</w:t>
            </w:r>
          </w:p>
        </w:tc>
      </w:tr>
      <w:tr w:rsidR="00302251" w:rsidRPr="007F2CBA" w14:paraId="304E5C09" w14:textId="77777777" w:rsidTr="007F2CBA">
        <w:tc>
          <w:tcPr>
            <w:tcW w:w="4675" w:type="dxa"/>
          </w:tcPr>
          <w:p w14:paraId="6127CE9B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>ACEMAPP Membership</w:t>
            </w:r>
          </w:p>
        </w:tc>
        <w:tc>
          <w:tcPr>
            <w:tcW w:w="4675" w:type="dxa"/>
          </w:tcPr>
          <w:p w14:paraId="4F2DEF9E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>$50</w:t>
            </w:r>
          </w:p>
        </w:tc>
      </w:tr>
      <w:tr w:rsidR="00302251" w:rsidRPr="007F2CBA" w14:paraId="09A32BA9" w14:textId="77777777" w:rsidTr="007F2CBA">
        <w:tc>
          <w:tcPr>
            <w:tcW w:w="4675" w:type="dxa"/>
          </w:tcPr>
          <w:p w14:paraId="492DA4BA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>Laptop</w:t>
            </w:r>
          </w:p>
        </w:tc>
        <w:tc>
          <w:tcPr>
            <w:tcW w:w="4675" w:type="dxa"/>
          </w:tcPr>
          <w:p w14:paraId="77155D24" w14:textId="77777777" w:rsidR="00302251" w:rsidRPr="007F2CBA" w:rsidRDefault="00302251" w:rsidP="007F2CBA">
            <w:pPr>
              <w:spacing w:after="100" w:afterAutospacing="1"/>
              <w:rPr>
                <w:rFonts w:eastAsia="Times New Roman" w:cstheme="minorHAnsi"/>
                <w:color w:val="222222"/>
                <w:sz w:val="38"/>
                <w:szCs w:val="38"/>
              </w:rPr>
            </w:pPr>
            <w:r w:rsidRPr="007F2CBA">
              <w:rPr>
                <w:rFonts w:eastAsia="Times New Roman" w:cstheme="minorHAnsi"/>
                <w:color w:val="222222"/>
                <w:sz w:val="38"/>
                <w:szCs w:val="38"/>
              </w:rPr>
              <w:t xml:space="preserve">$200-$500 </w:t>
            </w:r>
            <w:r w:rsidRPr="007F2CBA"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</w:rPr>
              <w:t>See DI handbook for UGA technology lending/rental services</w:t>
            </w:r>
          </w:p>
        </w:tc>
      </w:tr>
    </w:tbl>
    <w:p w14:paraId="53CEB65B" w14:textId="77777777" w:rsidR="00302251" w:rsidRPr="00302251" w:rsidRDefault="00302251" w:rsidP="00302251">
      <w:pPr>
        <w:spacing w:after="100" w:afterAutospacing="1" w:line="240" w:lineRule="auto"/>
        <w:rPr>
          <w:rFonts w:ascii="Noto Sans" w:eastAsia="Times New Roman" w:hAnsi="Noto Sans" w:cs="Noto Sans"/>
          <w:i/>
          <w:iCs/>
          <w:color w:val="222222"/>
          <w:sz w:val="24"/>
          <w:szCs w:val="24"/>
        </w:rPr>
      </w:pPr>
      <w:r w:rsidRPr="00302251">
        <w:rPr>
          <w:rFonts w:ascii="Noto Sans" w:eastAsia="Times New Roman" w:hAnsi="Noto Sans" w:cs="Noto Sans"/>
          <w:i/>
          <w:iCs/>
          <w:color w:val="222222"/>
          <w:sz w:val="24"/>
          <w:szCs w:val="24"/>
        </w:rPr>
        <w:t>* Students may be required to show evidence of a COVID-19 vaccination to supervised practice site officials to participate and complete our program. </w:t>
      </w:r>
    </w:p>
    <w:p w14:paraId="146E6BEA" w14:textId="77777777" w:rsidR="00302251" w:rsidRPr="006B4B62" w:rsidRDefault="00302251" w:rsidP="00302251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22222"/>
          <w:sz w:val="38"/>
          <w:szCs w:val="38"/>
        </w:rPr>
      </w:pPr>
    </w:p>
    <w:p w14:paraId="6B2E9D90" w14:textId="77777777" w:rsidR="00302251" w:rsidRPr="006B4B62" w:rsidRDefault="00302251" w:rsidP="00302251">
      <w:pPr>
        <w:spacing w:before="100" w:beforeAutospacing="1" w:after="100" w:afterAutospacing="1" w:line="240" w:lineRule="auto"/>
        <w:outlineLvl w:val="1"/>
        <w:rPr>
          <w:rFonts w:ascii="Merriweather" w:eastAsia="Times New Roman" w:hAnsi="Merriweather" w:cs="Noto Sans"/>
          <w:b/>
          <w:bCs/>
          <w:color w:val="222222"/>
          <w:sz w:val="28"/>
          <w:szCs w:val="28"/>
        </w:rPr>
      </w:pPr>
      <w:r w:rsidRPr="006B4B62">
        <w:rPr>
          <w:rFonts w:ascii="Merriweather" w:eastAsia="Times New Roman" w:hAnsi="Merriweather" w:cs="Noto Sans"/>
          <w:b/>
          <w:bCs/>
          <w:color w:val="222222"/>
          <w:sz w:val="28"/>
          <w:szCs w:val="28"/>
        </w:rPr>
        <w:t>Assistantships, Financial Aid &amp; Support</w:t>
      </w:r>
    </w:p>
    <w:p w14:paraId="765F87EF" w14:textId="49C17C8F" w:rsidR="00302251" w:rsidRDefault="00302251" w:rsidP="00302251">
      <w:pPr>
        <w:spacing w:after="100" w:afterAutospacing="1" w:line="240" w:lineRule="auto"/>
        <w:rPr>
          <w:rFonts w:ascii="Noto Sans" w:eastAsia="Times New Roman" w:hAnsi="Noto Sans" w:cs="Noto Sans"/>
          <w:color w:val="222222"/>
          <w:sz w:val="38"/>
          <w:szCs w:val="38"/>
        </w:rPr>
      </w:pPr>
      <w:r>
        <w:rPr>
          <w:rFonts w:ascii="Noto Sans" w:eastAsia="Times New Roman" w:hAnsi="Noto Sans" w:cs="Noto Sans"/>
          <w:color w:val="222222"/>
          <w:sz w:val="38"/>
          <w:szCs w:val="38"/>
        </w:rPr>
        <w:t xml:space="preserve">Some </w:t>
      </w:r>
      <w:r w:rsidRPr="006B4B62">
        <w:rPr>
          <w:rFonts w:ascii="Noto Sans" w:eastAsia="Times New Roman" w:hAnsi="Noto Sans" w:cs="Noto Sans"/>
          <w:color w:val="222222"/>
          <w:sz w:val="38"/>
          <w:szCs w:val="38"/>
        </w:rPr>
        <w:t xml:space="preserve">graduate-dietetic </w:t>
      </w:r>
      <w:r>
        <w:rPr>
          <w:rFonts w:ascii="Noto Sans" w:eastAsia="Times New Roman" w:hAnsi="Noto Sans" w:cs="Noto Sans"/>
          <w:color w:val="222222"/>
          <w:sz w:val="38"/>
          <w:szCs w:val="38"/>
        </w:rPr>
        <w:t xml:space="preserve">internship </w:t>
      </w:r>
      <w:r w:rsidRPr="006B4B62">
        <w:rPr>
          <w:rFonts w:ascii="Noto Sans" w:eastAsia="Times New Roman" w:hAnsi="Noto Sans" w:cs="Noto Sans"/>
          <w:color w:val="222222"/>
          <w:sz w:val="38"/>
          <w:szCs w:val="38"/>
        </w:rPr>
        <w:t>students receive financial aid in the form of teaching and research assistantships. When receiving an assistantship, students </w:t>
      </w:r>
      <w:r w:rsidRPr="006B4B62">
        <w:rPr>
          <w:rFonts w:ascii="Noto Sans" w:eastAsia="Times New Roman" w:hAnsi="Noto Sans" w:cs="Noto Sans"/>
          <w:b/>
          <w:bCs/>
          <w:color w:val="222222"/>
          <w:sz w:val="38"/>
          <w:szCs w:val="38"/>
        </w:rPr>
        <w:t>earn a stipend of $14,000 to $30,000</w:t>
      </w:r>
      <w:r w:rsidRPr="006B4B62">
        <w:rPr>
          <w:rFonts w:ascii="Noto Sans" w:eastAsia="Times New Roman" w:hAnsi="Noto Sans" w:cs="Noto Sans"/>
          <w:color w:val="222222"/>
          <w:sz w:val="38"/>
          <w:szCs w:val="38"/>
        </w:rPr>
        <w:t> annually, depending on the required hours, by serving as research or teaching assistant</w:t>
      </w:r>
      <w:r>
        <w:rPr>
          <w:rFonts w:ascii="Noto Sans" w:eastAsia="Times New Roman" w:hAnsi="Noto Sans" w:cs="Noto Sans"/>
          <w:color w:val="222222"/>
          <w:sz w:val="38"/>
          <w:szCs w:val="38"/>
        </w:rPr>
        <w:t xml:space="preserve">s. </w:t>
      </w:r>
      <w:r w:rsidRPr="006B4B62">
        <w:rPr>
          <w:rFonts w:ascii="Noto Sans" w:eastAsia="Times New Roman" w:hAnsi="Noto Sans" w:cs="Noto Sans"/>
          <w:color w:val="222222"/>
          <w:sz w:val="38"/>
          <w:szCs w:val="38"/>
        </w:rPr>
        <w:t xml:space="preserve"> </w:t>
      </w:r>
      <w:r>
        <w:rPr>
          <w:rFonts w:ascii="Noto Sans" w:eastAsia="Times New Roman" w:hAnsi="Noto Sans" w:cs="Noto Sans"/>
          <w:b/>
          <w:bCs/>
          <w:color w:val="222222"/>
          <w:sz w:val="38"/>
          <w:szCs w:val="38"/>
        </w:rPr>
        <w:t>T</w:t>
      </w:r>
      <w:r w:rsidRPr="006B4B62">
        <w:rPr>
          <w:rFonts w:ascii="Noto Sans" w:eastAsia="Times New Roman" w:hAnsi="Noto Sans" w:cs="Noto Sans"/>
          <w:b/>
          <w:bCs/>
          <w:color w:val="222222"/>
          <w:sz w:val="38"/>
          <w:szCs w:val="38"/>
        </w:rPr>
        <w:t>uition is </w:t>
      </w:r>
      <w:r>
        <w:rPr>
          <w:rFonts w:ascii="Noto Sans" w:eastAsia="Times New Roman" w:hAnsi="Noto Sans" w:cs="Noto Sans"/>
          <w:b/>
          <w:bCs/>
          <w:color w:val="222222"/>
          <w:sz w:val="38"/>
          <w:szCs w:val="38"/>
        </w:rPr>
        <w:t>reduced to $25/semester</w:t>
      </w:r>
      <w:r w:rsidRPr="006B4B62">
        <w:rPr>
          <w:rFonts w:ascii="Noto Sans" w:eastAsia="Times New Roman" w:hAnsi="Noto Sans" w:cs="Noto Sans"/>
          <w:color w:val="222222"/>
          <w:sz w:val="38"/>
          <w:szCs w:val="38"/>
        </w:rPr>
        <w:t>, but </w:t>
      </w:r>
      <w:r w:rsidRPr="006B4B62">
        <w:rPr>
          <w:rFonts w:ascii="Noto Sans" w:eastAsia="Times New Roman" w:hAnsi="Noto Sans" w:cs="Noto Sans"/>
          <w:b/>
          <w:bCs/>
          <w:color w:val="222222"/>
          <w:sz w:val="38"/>
          <w:szCs w:val="38"/>
        </w:rPr>
        <w:t xml:space="preserve">students </w:t>
      </w:r>
      <w:r w:rsidRPr="006B4B62">
        <w:rPr>
          <w:rFonts w:ascii="Noto Sans" w:eastAsia="Times New Roman" w:hAnsi="Noto Sans" w:cs="Noto Sans"/>
          <w:b/>
          <w:bCs/>
          <w:color w:val="222222"/>
          <w:sz w:val="38"/>
          <w:szCs w:val="38"/>
        </w:rPr>
        <w:lastRenderedPageBreak/>
        <w:t>must pay UGA student fees</w:t>
      </w:r>
      <w:r w:rsidRPr="006B4B62">
        <w:rPr>
          <w:rFonts w:ascii="Noto Sans" w:eastAsia="Times New Roman" w:hAnsi="Noto Sans" w:cs="Noto Sans"/>
          <w:color w:val="222222"/>
          <w:sz w:val="38"/>
          <w:szCs w:val="38"/>
        </w:rPr>
        <w:t xml:space="preserve"> (about $2,200 annually). </w:t>
      </w:r>
      <w:r>
        <w:rPr>
          <w:rFonts w:ascii="Noto Sans" w:eastAsia="Times New Roman" w:hAnsi="Noto Sans" w:cs="Noto Sans"/>
          <w:color w:val="222222"/>
          <w:sz w:val="38"/>
          <w:szCs w:val="38"/>
        </w:rPr>
        <w:t xml:space="preserve">Students are </w:t>
      </w:r>
      <w:r w:rsidRPr="006B4B62">
        <w:rPr>
          <w:rFonts w:ascii="Noto Sans" w:eastAsia="Times New Roman" w:hAnsi="Noto Sans" w:cs="Noto Sans"/>
          <w:color w:val="222222"/>
          <w:sz w:val="38"/>
          <w:szCs w:val="38"/>
        </w:rPr>
        <w:t>not eligible for assistantship</w:t>
      </w:r>
      <w:r>
        <w:rPr>
          <w:rFonts w:ascii="Noto Sans" w:eastAsia="Times New Roman" w:hAnsi="Noto Sans" w:cs="Noto Sans"/>
          <w:color w:val="222222"/>
          <w:sz w:val="38"/>
          <w:szCs w:val="38"/>
        </w:rPr>
        <w:t xml:space="preserve"> </w:t>
      </w:r>
      <w:r w:rsidRPr="006B4B62">
        <w:rPr>
          <w:rFonts w:ascii="Noto Sans" w:eastAsia="Times New Roman" w:hAnsi="Noto Sans" w:cs="Noto Sans"/>
          <w:color w:val="222222"/>
          <w:sz w:val="38"/>
          <w:szCs w:val="38"/>
        </w:rPr>
        <w:t>stipends in summer</w:t>
      </w:r>
      <w:r>
        <w:rPr>
          <w:rFonts w:ascii="Noto Sans" w:eastAsia="Times New Roman" w:hAnsi="Noto Sans" w:cs="Noto Sans"/>
          <w:color w:val="222222"/>
          <w:sz w:val="38"/>
          <w:szCs w:val="38"/>
        </w:rPr>
        <w:t xml:space="preserve"> semesters</w:t>
      </w:r>
      <w:r w:rsidRPr="006B4B62">
        <w:rPr>
          <w:rFonts w:ascii="Noto Sans" w:eastAsia="Times New Roman" w:hAnsi="Noto Sans" w:cs="Noto Sans"/>
          <w:color w:val="222222"/>
          <w:sz w:val="38"/>
          <w:szCs w:val="38"/>
        </w:rPr>
        <w:t xml:space="preserve"> while doing their internships. </w:t>
      </w:r>
    </w:p>
    <w:p w14:paraId="49EEC7F2" w14:textId="6B05BACA" w:rsidR="00302251" w:rsidRPr="006B4B62" w:rsidRDefault="00302251" w:rsidP="00302251">
      <w:pPr>
        <w:spacing w:after="100" w:afterAutospacing="1" w:line="240" w:lineRule="auto"/>
        <w:rPr>
          <w:rFonts w:ascii="Noto Sans" w:eastAsia="Times New Roman" w:hAnsi="Noto Sans" w:cs="Noto Sans"/>
          <w:color w:val="222222"/>
          <w:sz w:val="38"/>
          <w:szCs w:val="38"/>
        </w:rPr>
      </w:pPr>
      <w:r>
        <w:rPr>
          <w:rFonts w:ascii="Noto Sans" w:eastAsia="Times New Roman" w:hAnsi="Noto Sans" w:cs="Noto Sans"/>
          <w:color w:val="222222"/>
          <w:sz w:val="38"/>
          <w:szCs w:val="38"/>
        </w:rPr>
        <w:t>S</w:t>
      </w:r>
      <w:r w:rsidRPr="006B4B62">
        <w:rPr>
          <w:rFonts w:ascii="Noto Sans" w:eastAsia="Times New Roman" w:hAnsi="Noto Sans" w:cs="Noto Sans"/>
          <w:color w:val="222222"/>
          <w:sz w:val="38"/>
          <w:szCs w:val="38"/>
        </w:rPr>
        <w:t>cholarships, low</w:t>
      </w:r>
      <w:r w:rsidRPr="006B4B62">
        <w:rPr>
          <w:rFonts w:ascii="Noto Sans" w:eastAsia="Times New Roman" w:hAnsi="Noto Sans" w:cs="Noto Sans"/>
          <w:color w:val="222222"/>
          <w:sz w:val="38"/>
          <w:szCs w:val="38"/>
        </w:rPr>
        <w:t xml:space="preserve"> interest loans, and other types of financial assistance are available at UGA</w:t>
      </w:r>
      <w:r>
        <w:rPr>
          <w:rFonts w:ascii="Noto Sans" w:eastAsia="Times New Roman" w:hAnsi="Noto Sans" w:cs="Noto Sans"/>
          <w:color w:val="222222"/>
          <w:sz w:val="38"/>
          <w:szCs w:val="38"/>
        </w:rPr>
        <w:t xml:space="preserve"> </w:t>
      </w:r>
      <w:r w:rsidRPr="006B4B62">
        <w:rPr>
          <w:rFonts w:ascii="Noto Sans" w:eastAsia="Times New Roman" w:hAnsi="Noto Sans" w:cs="Noto Sans"/>
          <w:color w:val="222222"/>
          <w:sz w:val="38"/>
          <w:szCs w:val="38"/>
        </w:rPr>
        <w:t xml:space="preserve">through the Student Financial Aid Department and the College of Family and Consumer Sciences. Applicants are encouraged to contact these offices </w:t>
      </w:r>
      <w:r>
        <w:rPr>
          <w:rFonts w:ascii="Noto Sans" w:eastAsia="Times New Roman" w:hAnsi="Noto Sans" w:cs="Noto Sans"/>
          <w:color w:val="222222"/>
          <w:sz w:val="38"/>
          <w:szCs w:val="38"/>
        </w:rPr>
        <w:t xml:space="preserve">directly </w:t>
      </w:r>
      <w:r w:rsidRPr="006B4B62">
        <w:rPr>
          <w:rFonts w:ascii="Noto Sans" w:eastAsia="Times New Roman" w:hAnsi="Noto Sans" w:cs="Noto Sans"/>
          <w:color w:val="222222"/>
          <w:sz w:val="38"/>
          <w:szCs w:val="38"/>
        </w:rPr>
        <w:t>to learn more</w:t>
      </w:r>
      <w:r>
        <w:rPr>
          <w:rFonts w:ascii="Noto Sans" w:eastAsia="Times New Roman" w:hAnsi="Noto Sans" w:cs="Noto Sans"/>
          <w:color w:val="222222"/>
          <w:sz w:val="38"/>
          <w:szCs w:val="38"/>
        </w:rPr>
        <w:t>.</w:t>
      </w:r>
      <w:r>
        <w:rPr>
          <w:rFonts w:ascii="Noto Sans" w:eastAsia="Times New Roman" w:hAnsi="Noto Sans" w:cs="Noto Sans"/>
          <w:color w:val="222222"/>
          <w:sz w:val="38"/>
          <w:szCs w:val="38"/>
        </w:rPr>
        <w:t xml:space="preserve"> </w:t>
      </w:r>
      <w:r>
        <w:rPr>
          <w:rFonts w:ascii="Noto Sans" w:eastAsia="Times New Roman" w:hAnsi="Noto Sans" w:cs="Noto Sans"/>
          <w:color w:val="222222"/>
          <w:sz w:val="38"/>
          <w:szCs w:val="38"/>
        </w:rPr>
        <w:t>T</w:t>
      </w:r>
      <w:r w:rsidRPr="006B4B62">
        <w:rPr>
          <w:rFonts w:ascii="Noto Sans" w:eastAsia="Times New Roman" w:hAnsi="Noto Sans" w:cs="Noto Sans"/>
          <w:color w:val="222222"/>
          <w:sz w:val="38"/>
          <w:szCs w:val="38"/>
        </w:rPr>
        <w:t xml:space="preserve">he Dietetic Internship Director can direct applicants to additional opportunities if </w:t>
      </w:r>
      <w:r>
        <w:rPr>
          <w:rFonts w:ascii="Noto Sans" w:eastAsia="Times New Roman" w:hAnsi="Noto Sans" w:cs="Noto Sans"/>
          <w:color w:val="222222"/>
          <w:sz w:val="38"/>
          <w:szCs w:val="38"/>
        </w:rPr>
        <w:t>requested</w:t>
      </w:r>
      <w:r>
        <w:rPr>
          <w:rFonts w:ascii="Noto Sans" w:eastAsia="Times New Roman" w:hAnsi="Noto Sans" w:cs="Noto Sans"/>
          <w:color w:val="222222"/>
          <w:sz w:val="38"/>
          <w:szCs w:val="38"/>
        </w:rPr>
        <w:t>.</w:t>
      </w:r>
      <w:r w:rsidRPr="006B4B62">
        <w:rPr>
          <w:rFonts w:ascii="Noto Sans" w:eastAsia="Times New Roman" w:hAnsi="Noto Sans" w:cs="Noto Sans"/>
          <w:color w:val="222222"/>
          <w:sz w:val="38"/>
          <w:szCs w:val="38"/>
        </w:rPr>
        <w:t> </w:t>
      </w:r>
    </w:p>
    <w:p w14:paraId="68796CF2" w14:textId="0424C9A0" w:rsidR="00302251" w:rsidRDefault="00302251" w:rsidP="00302251">
      <w:pPr>
        <w:spacing w:after="100" w:afterAutospacing="1" w:line="240" w:lineRule="auto"/>
        <w:rPr>
          <w:rFonts w:ascii="Noto Sans" w:eastAsia="Times New Roman" w:hAnsi="Noto Sans" w:cs="Noto Sans"/>
          <w:color w:val="FF0000"/>
          <w:sz w:val="24"/>
          <w:szCs w:val="24"/>
        </w:rPr>
      </w:pPr>
      <w:hyperlink r:id="rId9" w:history="1">
        <w:r>
          <w:rPr>
            <w:rFonts w:ascii="Noto Sans" w:eastAsia="Times New Roman" w:hAnsi="Noto Sans" w:cs="Noto Sans"/>
            <w:color w:val="FF0000"/>
            <w:sz w:val="24"/>
            <w:szCs w:val="24"/>
            <w:u w:val="single"/>
            <w:bdr w:val="single" w:sz="6" w:space="0" w:color="BA0C2F" w:frame="1"/>
          </w:rPr>
          <w:t>UGA Office of</w:t>
        </w:r>
        <w:r>
          <w:rPr>
            <w:rFonts w:ascii="Noto Sans" w:eastAsia="Times New Roman" w:hAnsi="Noto Sans" w:cs="Noto Sans"/>
            <w:color w:val="FF0000"/>
            <w:sz w:val="24"/>
            <w:szCs w:val="24"/>
            <w:u w:val="single"/>
            <w:bdr w:val="single" w:sz="6" w:space="0" w:color="BA0C2F" w:frame="1"/>
          </w:rPr>
          <w:t xml:space="preserve"> </w:t>
        </w:r>
        <w:r w:rsidRPr="006B4B62">
          <w:rPr>
            <w:rFonts w:ascii="Noto Sans" w:eastAsia="Times New Roman" w:hAnsi="Noto Sans" w:cs="Noto Sans"/>
            <w:color w:val="FF0000"/>
            <w:sz w:val="24"/>
            <w:szCs w:val="24"/>
            <w:u w:val="single"/>
            <w:bdr w:val="single" w:sz="6" w:space="0" w:color="BA0C2F" w:frame="1"/>
          </w:rPr>
          <w:t>Financial</w:t>
        </w:r>
        <w:r w:rsidRPr="006B4B62">
          <w:rPr>
            <w:rFonts w:ascii="Noto Sans" w:eastAsia="Times New Roman" w:hAnsi="Noto Sans" w:cs="Noto Sans"/>
            <w:color w:val="FF0000"/>
            <w:sz w:val="24"/>
            <w:szCs w:val="24"/>
            <w:u w:val="single"/>
            <w:bdr w:val="single" w:sz="6" w:space="0" w:color="BA0C2F" w:frame="1"/>
          </w:rPr>
          <w:t xml:space="preserve"> Aid</w:t>
        </w:r>
      </w:hyperlink>
    </w:p>
    <w:p w14:paraId="15557E8C" w14:textId="77777777" w:rsidR="00302251" w:rsidRPr="006B4B62" w:rsidRDefault="00302251" w:rsidP="00302251">
      <w:pPr>
        <w:spacing w:after="100" w:afterAutospacing="1" w:line="240" w:lineRule="auto"/>
        <w:rPr>
          <w:rFonts w:ascii="Noto Sans" w:eastAsia="Times New Roman" w:hAnsi="Noto Sans" w:cs="Noto Sans"/>
          <w:color w:val="FF0000"/>
          <w:sz w:val="24"/>
          <w:szCs w:val="24"/>
        </w:rPr>
      </w:pPr>
      <w:hyperlink r:id="rId10" w:history="1">
        <w:r w:rsidRPr="00992C4A">
          <w:rPr>
            <w:rStyle w:val="Hyperlink"/>
            <w:rFonts w:ascii="Noto Sans" w:eastAsia="Times New Roman" w:hAnsi="Noto Sans" w:cs="Noto Sans"/>
            <w:sz w:val="24"/>
            <w:szCs w:val="24"/>
          </w:rPr>
          <w:t>FACS Graduate Scholarships</w:t>
        </w:r>
      </w:hyperlink>
    </w:p>
    <w:p w14:paraId="3791F637" w14:textId="77777777" w:rsidR="00302251" w:rsidRDefault="00302251"/>
    <w:sectPr w:rsidR="00302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besity" w:date="2024-07-03T10:37:00Z" w:initials="O">
    <w:p w14:paraId="0BE4734A" w14:textId="77777777" w:rsidR="00302251" w:rsidRDefault="00302251" w:rsidP="00302251">
      <w:pPr>
        <w:pStyle w:val="CommentText"/>
      </w:pPr>
      <w:r>
        <w:rPr>
          <w:rStyle w:val="CommentReference"/>
        </w:rPr>
        <w:annotationRef/>
      </w:r>
      <w:r>
        <w:t>This is much more detailed and complex than any other site I have looked at (Emory, UAB, UVA) Most have brief bulleted type lists</w:t>
      </w:r>
    </w:p>
  </w:comment>
  <w:comment w:id="1" w:author="Obesity" w:date="2024-07-03T11:27:00Z" w:initials="O">
    <w:p w14:paraId="56279AB9" w14:textId="77777777" w:rsidR="00302251" w:rsidRDefault="00302251" w:rsidP="00302251">
      <w:pPr>
        <w:pStyle w:val="CommentText"/>
      </w:pPr>
      <w:r>
        <w:rPr>
          <w:rStyle w:val="CommentReference"/>
        </w:rPr>
        <w:annotationRef/>
      </w:r>
      <w:r>
        <w:t>Suggest move Internship Expenses and Assistantships Financial Aid and Support to a separate page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E4734A" w15:done="0"/>
  <w15:commentEx w15:paraId="56279A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FA862" w16cex:dateUtc="2024-07-03T14:37:00Z"/>
  <w16cex:commentExtensible w16cex:durableId="2A2FB421" w16cex:dateUtc="2024-07-03T1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E4734A" w16cid:durableId="2A2FA862"/>
  <w16cid:commentId w16cid:paraId="56279AB9" w16cid:durableId="2A2FB4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F10"/>
    <w:multiLevelType w:val="multilevel"/>
    <w:tmpl w:val="8E4C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12651"/>
    <w:multiLevelType w:val="multilevel"/>
    <w:tmpl w:val="531C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C16AF"/>
    <w:multiLevelType w:val="multilevel"/>
    <w:tmpl w:val="F5F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F3E7B"/>
    <w:multiLevelType w:val="multilevel"/>
    <w:tmpl w:val="7DD0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besity">
    <w15:presenceInfo w15:providerId="None" w15:userId="Obesi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C7"/>
    <w:rsid w:val="0000224F"/>
    <w:rsid w:val="00010267"/>
    <w:rsid w:val="00013FD6"/>
    <w:rsid w:val="000368DB"/>
    <w:rsid w:val="00057081"/>
    <w:rsid w:val="0005720E"/>
    <w:rsid w:val="00057A7C"/>
    <w:rsid w:val="00083CBC"/>
    <w:rsid w:val="00086D60"/>
    <w:rsid w:val="0008725B"/>
    <w:rsid w:val="000876F3"/>
    <w:rsid w:val="000B4897"/>
    <w:rsid w:val="000B6529"/>
    <w:rsid w:val="000C09D0"/>
    <w:rsid w:val="000C43B8"/>
    <w:rsid w:val="000D0354"/>
    <w:rsid w:val="000D0EF5"/>
    <w:rsid w:val="000D3F59"/>
    <w:rsid w:val="000D6AC0"/>
    <w:rsid w:val="000D7324"/>
    <w:rsid w:val="000D739F"/>
    <w:rsid w:val="000E1EA9"/>
    <w:rsid w:val="000E6007"/>
    <w:rsid w:val="000F19A0"/>
    <w:rsid w:val="001115B0"/>
    <w:rsid w:val="00122D8F"/>
    <w:rsid w:val="00147D23"/>
    <w:rsid w:val="00152539"/>
    <w:rsid w:val="001576E6"/>
    <w:rsid w:val="001635B6"/>
    <w:rsid w:val="00167F1F"/>
    <w:rsid w:val="0017255F"/>
    <w:rsid w:val="00177B51"/>
    <w:rsid w:val="0018112D"/>
    <w:rsid w:val="0019124F"/>
    <w:rsid w:val="00194571"/>
    <w:rsid w:val="001959E0"/>
    <w:rsid w:val="001967C9"/>
    <w:rsid w:val="001A1B06"/>
    <w:rsid w:val="001A6866"/>
    <w:rsid w:val="001B21BD"/>
    <w:rsid w:val="001B4532"/>
    <w:rsid w:val="001C670A"/>
    <w:rsid w:val="001F2849"/>
    <w:rsid w:val="001F2D65"/>
    <w:rsid w:val="001F2F3B"/>
    <w:rsid w:val="001F6C9F"/>
    <w:rsid w:val="00207DF5"/>
    <w:rsid w:val="00226F8A"/>
    <w:rsid w:val="00243408"/>
    <w:rsid w:val="00260B5A"/>
    <w:rsid w:val="002645EE"/>
    <w:rsid w:val="00265D90"/>
    <w:rsid w:val="00273E39"/>
    <w:rsid w:val="002A79AE"/>
    <w:rsid w:val="002B6AC0"/>
    <w:rsid w:val="002D41E0"/>
    <w:rsid w:val="002E2BE7"/>
    <w:rsid w:val="002E4507"/>
    <w:rsid w:val="002F32DE"/>
    <w:rsid w:val="00302251"/>
    <w:rsid w:val="00311227"/>
    <w:rsid w:val="003112EF"/>
    <w:rsid w:val="00315611"/>
    <w:rsid w:val="00326A81"/>
    <w:rsid w:val="003473CE"/>
    <w:rsid w:val="0035732A"/>
    <w:rsid w:val="00366F87"/>
    <w:rsid w:val="00375D4B"/>
    <w:rsid w:val="003917B8"/>
    <w:rsid w:val="00393EF2"/>
    <w:rsid w:val="00397A94"/>
    <w:rsid w:val="003A09CC"/>
    <w:rsid w:val="003A5D76"/>
    <w:rsid w:val="003B43BE"/>
    <w:rsid w:val="003C2B8C"/>
    <w:rsid w:val="003C39EB"/>
    <w:rsid w:val="003D21A2"/>
    <w:rsid w:val="003D40CE"/>
    <w:rsid w:val="003D439C"/>
    <w:rsid w:val="003E75E0"/>
    <w:rsid w:val="00415623"/>
    <w:rsid w:val="004157D2"/>
    <w:rsid w:val="00420691"/>
    <w:rsid w:val="00422EA6"/>
    <w:rsid w:val="00424C49"/>
    <w:rsid w:val="00425CAB"/>
    <w:rsid w:val="00426023"/>
    <w:rsid w:val="00427BBD"/>
    <w:rsid w:val="00436C74"/>
    <w:rsid w:val="004375DE"/>
    <w:rsid w:val="00437CCF"/>
    <w:rsid w:val="00455E6C"/>
    <w:rsid w:val="00472CBF"/>
    <w:rsid w:val="004745D3"/>
    <w:rsid w:val="004803CB"/>
    <w:rsid w:val="00481045"/>
    <w:rsid w:val="004907E4"/>
    <w:rsid w:val="004924B5"/>
    <w:rsid w:val="004A7DE4"/>
    <w:rsid w:val="004B7EBA"/>
    <w:rsid w:val="004F0796"/>
    <w:rsid w:val="005010A5"/>
    <w:rsid w:val="00502D77"/>
    <w:rsid w:val="00506732"/>
    <w:rsid w:val="00507FF4"/>
    <w:rsid w:val="00513DDF"/>
    <w:rsid w:val="0051647A"/>
    <w:rsid w:val="0052470E"/>
    <w:rsid w:val="00531E6C"/>
    <w:rsid w:val="00536810"/>
    <w:rsid w:val="0056355D"/>
    <w:rsid w:val="005673D0"/>
    <w:rsid w:val="00581237"/>
    <w:rsid w:val="005812EF"/>
    <w:rsid w:val="00585C7E"/>
    <w:rsid w:val="005A4E04"/>
    <w:rsid w:val="005C3FD6"/>
    <w:rsid w:val="005C5411"/>
    <w:rsid w:val="005E35E8"/>
    <w:rsid w:val="005E4438"/>
    <w:rsid w:val="005E5C7B"/>
    <w:rsid w:val="005E6B4E"/>
    <w:rsid w:val="005E798F"/>
    <w:rsid w:val="005F4BF9"/>
    <w:rsid w:val="005F6E99"/>
    <w:rsid w:val="00620AF8"/>
    <w:rsid w:val="00631F3E"/>
    <w:rsid w:val="0064382D"/>
    <w:rsid w:val="00654285"/>
    <w:rsid w:val="0065706F"/>
    <w:rsid w:val="00670784"/>
    <w:rsid w:val="00673BFA"/>
    <w:rsid w:val="00676247"/>
    <w:rsid w:val="00687D85"/>
    <w:rsid w:val="00692BCB"/>
    <w:rsid w:val="0069529F"/>
    <w:rsid w:val="00697511"/>
    <w:rsid w:val="006A08C7"/>
    <w:rsid w:val="006B3ACB"/>
    <w:rsid w:val="006B413E"/>
    <w:rsid w:val="006C0BBB"/>
    <w:rsid w:val="006C1984"/>
    <w:rsid w:val="006C317D"/>
    <w:rsid w:val="006C36EC"/>
    <w:rsid w:val="006C59C4"/>
    <w:rsid w:val="006C7D8F"/>
    <w:rsid w:val="006D52A5"/>
    <w:rsid w:val="006D7964"/>
    <w:rsid w:val="006F632B"/>
    <w:rsid w:val="007053BF"/>
    <w:rsid w:val="00711E75"/>
    <w:rsid w:val="0071353F"/>
    <w:rsid w:val="00717BCC"/>
    <w:rsid w:val="007214BC"/>
    <w:rsid w:val="00725E5F"/>
    <w:rsid w:val="007269F3"/>
    <w:rsid w:val="00726B7B"/>
    <w:rsid w:val="007275F4"/>
    <w:rsid w:val="00734CCF"/>
    <w:rsid w:val="0075100E"/>
    <w:rsid w:val="00753253"/>
    <w:rsid w:val="0075633B"/>
    <w:rsid w:val="00757E0B"/>
    <w:rsid w:val="007714C1"/>
    <w:rsid w:val="007776B4"/>
    <w:rsid w:val="0078129E"/>
    <w:rsid w:val="007859C2"/>
    <w:rsid w:val="00786CD7"/>
    <w:rsid w:val="00796F34"/>
    <w:rsid w:val="007A06C6"/>
    <w:rsid w:val="007A73FE"/>
    <w:rsid w:val="007B5207"/>
    <w:rsid w:val="007C4CD9"/>
    <w:rsid w:val="007D6DFF"/>
    <w:rsid w:val="007D78B4"/>
    <w:rsid w:val="007E152F"/>
    <w:rsid w:val="007F07BE"/>
    <w:rsid w:val="00803E01"/>
    <w:rsid w:val="00820AE3"/>
    <w:rsid w:val="00830F7E"/>
    <w:rsid w:val="00832727"/>
    <w:rsid w:val="00840444"/>
    <w:rsid w:val="00842304"/>
    <w:rsid w:val="00845B14"/>
    <w:rsid w:val="00847AB9"/>
    <w:rsid w:val="0087466E"/>
    <w:rsid w:val="00887F14"/>
    <w:rsid w:val="00892475"/>
    <w:rsid w:val="00893B6B"/>
    <w:rsid w:val="008A02ED"/>
    <w:rsid w:val="008B57C9"/>
    <w:rsid w:val="008C18E5"/>
    <w:rsid w:val="008C7E6D"/>
    <w:rsid w:val="008D13EA"/>
    <w:rsid w:val="008D7F6B"/>
    <w:rsid w:val="008E45E4"/>
    <w:rsid w:val="008F0149"/>
    <w:rsid w:val="008F3169"/>
    <w:rsid w:val="00904ED5"/>
    <w:rsid w:val="00936196"/>
    <w:rsid w:val="009469AF"/>
    <w:rsid w:val="00954CDE"/>
    <w:rsid w:val="00962D5A"/>
    <w:rsid w:val="00965C72"/>
    <w:rsid w:val="0097460C"/>
    <w:rsid w:val="009837A3"/>
    <w:rsid w:val="00986032"/>
    <w:rsid w:val="00987D58"/>
    <w:rsid w:val="009A6383"/>
    <w:rsid w:val="009C0964"/>
    <w:rsid w:val="009C0C79"/>
    <w:rsid w:val="009C641D"/>
    <w:rsid w:val="009D6D50"/>
    <w:rsid w:val="009F6FCF"/>
    <w:rsid w:val="00A047B5"/>
    <w:rsid w:val="00A0685B"/>
    <w:rsid w:val="00A17777"/>
    <w:rsid w:val="00A23B44"/>
    <w:rsid w:val="00A31E0F"/>
    <w:rsid w:val="00A42341"/>
    <w:rsid w:val="00A42931"/>
    <w:rsid w:val="00A50062"/>
    <w:rsid w:val="00A50E1E"/>
    <w:rsid w:val="00A553ED"/>
    <w:rsid w:val="00A621BE"/>
    <w:rsid w:val="00A81DD3"/>
    <w:rsid w:val="00A84314"/>
    <w:rsid w:val="00AA2D39"/>
    <w:rsid w:val="00AB0789"/>
    <w:rsid w:val="00AD4248"/>
    <w:rsid w:val="00AD4274"/>
    <w:rsid w:val="00AD75D6"/>
    <w:rsid w:val="00AE5256"/>
    <w:rsid w:val="00B134DF"/>
    <w:rsid w:val="00B24833"/>
    <w:rsid w:val="00B45056"/>
    <w:rsid w:val="00B5040C"/>
    <w:rsid w:val="00B51700"/>
    <w:rsid w:val="00B519B6"/>
    <w:rsid w:val="00B555C7"/>
    <w:rsid w:val="00B568D2"/>
    <w:rsid w:val="00B6265E"/>
    <w:rsid w:val="00B743AD"/>
    <w:rsid w:val="00BA1680"/>
    <w:rsid w:val="00BA2EB2"/>
    <w:rsid w:val="00BB01BE"/>
    <w:rsid w:val="00BB0762"/>
    <w:rsid w:val="00BD4E46"/>
    <w:rsid w:val="00BD5F5A"/>
    <w:rsid w:val="00BD6D87"/>
    <w:rsid w:val="00BD73A9"/>
    <w:rsid w:val="00BF6125"/>
    <w:rsid w:val="00BF61EB"/>
    <w:rsid w:val="00BF7BCA"/>
    <w:rsid w:val="00C0178A"/>
    <w:rsid w:val="00C05E83"/>
    <w:rsid w:val="00C10463"/>
    <w:rsid w:val="00C12BFD"/>
    <w:rsid w:val="00C141A0"/>
    <w:rsid w:val="00C36063"/>
    <w:rsid w:val="00C4513E"/>
    <w:rsid w:val="00C51C4E"/>
    <w:rsid w:val="00C55A85"/>
    <w:rsid w:val="00C769FB"/>
    <w:rsid w:val="00C81E55"/>
    <w:rsid w:val="00C852AB"/>
    <w:rsid w:val="00C92E90"/>
    <w:rsid w:val="00C94442"/>
    <w:rsid w:val="00C9694A"/>
    <w:rsid w:val="00C97A44"/>
    <w:rsid w:val="00CA1250"/>
    <w:rsid w:val="00CA4C07"/>
    <w:rsid w:val="00CA4C9F"/>
    <w:rsid w:val="00CB24D0"/>
    <w:rsid w:val="00CC122E"/>
    <w:rsid w:val="00CC14ED"/>
    <w:rsid w:val="00CE74ED"/>
    <w:rsid w:val="00CF2D2A"/>
    <w:rsid w:val="00CF3F4C"/>
    <w:rsid w:val="00CF48BD"/>
    <w:rsid w:val="00CF4E03"/>
    <w:rsid w:val="00D151EE"/>
    <w:rsid w:val="00D2271B"/>
    <w:rsid w:val="00D32034"/>
    <w:rsid w:val="00D36132"/>
    <w:rsid w:val="00D42E0A"/>
    <w:rsid w:val="00D46461"/>
    <w:rsid w:val="00D47BA0"/>
    <w:rsid w:val="00D5130D"/>
    <w:rsid w:val="00D51476"/>
    <w:rsid w:val="00D67325"/>
    <w:rsid w:val="00D73036"/>
    <w:rsid w:val="00D7722B"/>
    <w:rsid w:val="00D80F68"/>
    <w:rsid w:val="00D826A2"/>
    <w:rsid w:val="00D917C7"/>
    <w:rsid w:val="00D95546"/>
    <w:rsid w:val="00DA6413"/>
    <w:rsid w:val="00DC3C3B"/>
    <w:rsid w:val="00DC6C33"/>
    <w:rsid w:val="00DD7888"/>
    <w:rsid w:val="00DE1D69"/>
    <w:rsid w:val="00DE4693"/>
    <w:rsid w:val="00DF1238"/>
    <w:rsid w:val="00E15F9D"/>
    <w:rsid w:val="00E16DB1"/>
    <w:rsid w:val="00E27D4A"/>
    <w:rsid w:val="00E334F4"/>
    <w:rsid w:val="00E402E7"/>
    <w:rsid w:val="00E4318B"/>
    <w:rsid w:val="00E46605"/>
    <w:rsid w:val="00E57652"/>
    <w:rsid w:val="00E6086F"/>
    <w:rsid w:val="00E636B3"/>
    <w:rsid w:val="00E640E2"/>
    <w:rsid w:val="00E668E6"/>
    <w:rsid w:val="00E8072A"/>
    <w:rsid w:val="00EA15FD"/>
    <w:rsid w:val="00EA4B07"/>
    <w:rsid w:val="00EA569C"/>
    <w:rsid w:val="00EB4350"/>
    <w:rsid w:val="00EC44FC"/>
    <w:rsid w:val="00EC6F3D"/>
    <w:rsid w:val="00EF221F"/>
    <w:rsid w:val="00F074BD"/>
    <w:rsid w:val="00F076B0"/>
    <w:rsid w:val="00F10020"/>
    <w:rsid w:val="00F1762B"/>
    <w:rsid w:val="00F27E93"/>
    <w:rsid w:val="00F3351D"/>
    <w:rsid w:val="00F378F0"/>
    <w:rsid w:val="00F47CDB"/>
    <w:rsid w:val="00F55806"/>
    <w:rsid w:val="00F752DC"/>
    <w:rsid w:val="00F906F3"/>
    <w:rsid w:val="00F91E4F"/>
    <w:rsid w:val="00FA1C00"/>
    <w:rsid w:val="00FB747F"/>
    <w:rsid w:val="00FC3FFB"/>
    <w:rsid w:val="00FD49C0"/>
    <w:rsid w:val="00FD55BC"/>
    <w:rsid w:val="00FF05B1"/>
    <w:rsid w:val="00FF16CA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B62B"/>
  <w15:chartTrackingRefBased/>
  <w15:docId w15:val="{32FA484C-8E06-4EA1-9AB5-4E67EC56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25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2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251"/>
    <w:rPr>
      <w:sz w:val="20"/>
      <w:szCs w:val="20"/>
    </w:rPr>
  </w:style>
  <w:style w:type="table" w:styleId="TableGrid">
    <w:name w:val="Table Grid"/>
    <w:basedOn w:val="TableNormal"/>
    <w:uiPriority w:val="39"/>
    <w:rsid w:val="0030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s://www.fcs.uga.edu/ssac/scholarships-gradu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fa.ug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Obesity</dc:creator>
  <cp:keywords/>
  <dc:description/>
  <cp:lastModifiedBy>Obesity</cp:lastModifiedBy>
  <cp:revision>2</cp:revision>
  <dcterms:created xsi:type="dcterms:W3CDTF">2024-07-03T15:21:00Z</dcterms:created>
  <dcterms:modified xsi:type="dcterms:W3CDTF">2024-07-03T15:56:00Z</dcterms:modified>
</cp:coreProperties>
</file>